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D409B" w14:textId="227570A9" w:rsidR="003D46F9" w:rsidRPr="003D46F9" w:rsidRDefault="00117721" w:rsidP="008E71F9">
      <w:pPr>
        <w:widowControl/>
        <w:spacing w:before="100" w:beforeAutospacing="1" w:after="100" w:afterAutospacing="1" w:line="240" w:lineRule="auto"/>
        <w:rPr>
          <w:rFonts w:ascii="Times New Roman" w:eastAsia="宋体" w:hAnsi="Times New Roman" w:cs="Times New Roman"/>
          <w:kern w:val="0"/>
          <w:sz w:val="24"/>
          <w14:ligatures w14:val="none"/>
        </w:rPr>
      </w:pPr>
      <w:r w:rsidRPr="00117721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Supplementary Table S1</w:t>
      </w:r>
      <w:r w:rsidR="003D46F9" w:rsidRPr="003D46F9">
        <w:rPr>
          <w:rFonts w:ascii="Times New Roman" w:eastAsia="宋体" w:hAnsi="Times New Roman" w:cs="Times New Roman"/>
          <w:b/>
          <w:bCs/>
          <w:kern w:val="0"/>
          <w:sz w:val="24"/>
          <w14:ligatures w14:val="none"/>
        </w:rPr>
        <w:t>. PBMC-relevant immunomodulatory interventions in sepsis: targets, immune-state rationale, evidence status, and translational limitations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4"/>
        <w:gridCol w:w="2665"/>
        <w:gridCol w:w="2439"/>
        <w:gridCol w:w="2351"/>
        <w:gridCol w:w="2370"/>
        <w:gridCol w:w="2349"/>
      </w:tblGrid>
      <w:tr w:rsidR="003D46F9" w:rsidRPr="00ED3F37" w14:paraId="22706169" w14:textId="77777777" w:rsidTr="003D46F9">
        <w:trPr>
          <w:tblHeader/>
          <w:tblCellSpacing w:w="15" w:type="dxa"/>
        </w:trPr>
        <w:tc>
          <w:tcPr>
            <w:tcW w:w="616" w:type="pct"/>
            <w:vAlign w:val="center"/>
            <w:hideMark/>
          </w:tcPr>
          <w:p w14:paraId="5D144CF4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Intervention / target</w:t>
            </w:r>
          </w:p>
        </w:tc>
        <w:tc>
          <w:tcPr>
            <w:tcW w:w="934" w:type="pct"/>
            <w:vAlign w:val="center"/>
            <w:hideMark/>
          </w:tcPr>
          <w:p w14:paraId="6ED913E4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PBMC-related rationale</w:t>
            </w:r>
          </w:p>
        </w:tc>
        <w:tc>
          <w:tcPr>
            <w:tcW w:w="854" w:type="pct"/>
            <w:vAlign w:val="center"/>
            <w:hideMark/>
          </w:tcPr>
          <w:p w14:paraId="18DCF735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Intended immune state / target population</w:t>
            </w:r>
          </w:p>
        </w:tc>
        <w:tc>
          <w:tcPr>
            <w:tcW w:w="823" w:type="pct"/>
            <w:vAlign w:val="center"/>
            <w:hideMark/>
          </w:tcPr>
          <w:p w14:paraId="70047CF3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Timing / therapeutic window</w:t>
            </w:r>
          </w:p>
        </w:tc>
        <w:tc>
          <w:tcPr>
            <w:tcW w:w="829" w:type="pct"/>
            <w:vAlign w:val="center"/>
            <w:hideMark/>
          </w:tcPr>
          <w:p w14:paraId="773A682A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Evidence type / current status</w:t>
            </w:r>
          </w:p>
        </w:tc>
        <w:tc>
          <w:tcPr>
            <w:tcW w:w="817" w:type="pct"/>
            <w:vAlign w:val="center"/>
            <w:hideMark/>
          </w:tcPr>
          <w:p w14:paraId="16BB170F" w14:textId="77777777" w:rsidR="003D46F9" w:rsidRPr="00ED3F37" w:rsidRDefault="003D46F9" w:rsidP="003D46F9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Main limitation / reason for failure</w:t>
            </w:r>
          </w:p>
        </w:tc>
      </w:tr>
      <w:tr w:rsidR="003D46F9" w:rsidRPr="00ED3F37" w14:paraId="6AE4BEBE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4C55AD2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Recombinant human activated protein C</w:t>
            </w:r>
          </w:p>
        </w:tc>
        <w:tc>
          <w:tcPr>
            <w:tcW w:w="934" w:type="pct"/>
            <w:vAlign w:val="center"/>
            <w:hideMark/>
          </w:tcPr>
          <w:p w14:paraId="0DE04088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Broad anticoagulant and anti-inflammatory approach; indirectly aimed to reduce sepsis-associated endothelial and inflammatory injury rather than a defined PBMC immune state</w:t>
            </w:r>
          </w:p>
        </w:tc>
        <w:tc>
          <w:tcPr>
            <w:tcW w:w="854" w:type="pct"/>
            <w:vAlign w:val="center"/>
            <w:hideMark/>
          </w:tcPr>
          <w:p w14:paraId="6F185DF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Unselected patients with severe sepsis or septic shock</w:t>
            </w:r>
          </w:p>
        </w:tc>
        <w:tc>
          <w:tcPr>
            <w:tcW w:w="823" w:type="pct"/>
            <w:vAlign w:val="center"/>
            <w:hideMark/>
          </w:tcPr>
          <w:p w14:paraId="14D9042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Acute sepsis; not guided by immune phenotype</w:t>
            </w:r>
          </w:p>
        </w:tc>
        <w:tc>
          <w:tcPr>
            <w:tcW w:w="829" w:type="pct"/>
            <w:vAlign w:val="center"/>
            <w:hideMark/>
          </w:tcPr>
          <w:p w14:paraId="6480192A" w14:textId="38C0FF64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Large randomized trial evidence failed to confirm benefit in unselected populations [</w:t>
            </w:r>
            <w:r w:rsidR="005231C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113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21523C6C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Lack of PBMC-based or immune-state enrichment; broad intervention applied to biologically heterogeneous patients; safety concerns and inconsistent efficacy limited clinical utility</w:t>
            </w:r>
          </w:p>
        </w:tc>
      </w:tr>
      <w:tr w:rsidR="003D46F9" w:rsidRPr="00ED3F37" w14:paraId="70B739E1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6476721D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Eritoran / TLR4 antagonism</w:t>
            </w:r>
          </w:p>
        </w:tc>
        <w:tc>
          <w:tcPr>
            <w:tcW w:w="934" w:type="pct"/>
            <w:vAlign w:val="center"/>
            <w:hideMark/>
          </w:tcPr>
          <w:p w14:paraId="2F049C60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Blocks TLR4-mediated upstream inflammatory signaling, potentially reducing monocyte/macrophage NF-κB activation</w:t>
            </w:r>
          </w:p>
        </w:tc>
        <w:tc>
          <w:tcPr>
            <w:tcW w:w="854" w:type="pct"/>
            <w:vAlign w:val="center"/>
            <w:hideMark/>
          </w:tcPr>
          <w:p w14:paraId="5EEFE08C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Presumed hyperinflammatory sepsis; not restricted to patients with demonstrated TLR4-driven myeloid activation</w:t>
            </w:r>
          </w:p>
        </w:tc>
        <w:tc>
          <w:tcPr>
            <w:tcW w:w="823" w:type="pct"/>
            <w:vAlign w:val="center"/>
            <w:hideMark/>
          </w:tcPr>
          <w:p w14:paraId="33863440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hyperinflammatory phase would be biologically most plausible</w:t>
            </w:r>
          </w:p>
        </w:tc>
        <w:tc>
          <w:tcPr>
            <w:tcW w:w="829" w:type="pct"/>
            <w:vAlign w:val="center"/>
            <w:hideMark/>
          </w:tcPr>
          <w:p w14:paraId="3E8F497A" w14:textId="529726E0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ACCESS trial failed to improve 28-day mortality in unselected sepsis populations [</w:t>
            </w:r>
            <w:r w:rsidR="005231C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113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1A02991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Uniform anti-inflammatory blockade without pathogen-, timing-, or immune-state stratification; may suppress protective antimicrobial signaling in patients who are not TLR4-dominant</w:t>
            </w:r>
          </w:p>
        </w:tc>
      </w:tr>
      <w:tr w:rsidR="003D46F9" w:rsidRPr="00ED3F37" w14:paraId="7F2EFE1F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40344D9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Anakinra / IL-1 receptor blockade</w:t>
            </w:r>
          </w:p>
        </w:tc>
        <w:tc>
          <w:tcPr>
            <w:tcW w:w="934" w:type="pct"/>
            <w:vAlign w:val="center"/>
            <w:hideMark/>
          </w:tcPr>
          <w:p w14:paraId="3192A15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Suppresses IL-1-mediated inflammatory amplification and may reduce macrophage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activation and inflammasome-associated injury</w:t>
            </w:r>
          </w:p>
        </w:tc>
        <w:tc>
          <w:tcPr>
            <w:tcW w:w="854" w:type="pct"/>
            <w:vAlign w:val="center"/>
            <w:hideMark/>
          </w:tcPr>
          <w:p w14:paraId="6144FCA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Hyperinflammatory endotype, especially macrophage activation syndrome-like phenotype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with marked hyperferritinemia</w:t>
            </w:r>
          </w:p>
        </w:tc>
        <w:tc>
          <w:tcPr>
            <w:tcW w:w="823" w:type="pct"/>
            <w:vAlign w:val="center"/>
            <w:hideMark/>
          </w:tcPr>
          <w:p w14:paraId="2E9E197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Early hyperinflammatory phase, particularly within the first 24–72 hours when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IL-1-driven inflammation is dominant</w:t>
            </w:r>
          </w:p>
        </w:tc>
        <w:tc>
          <w:tcPr>
            <w:tcW w:w="829" w:type="pct"/>
            <w:vAlign w:val="center"/>
            <w:hideMark/>
          </w:tcPr>
          <w:p w14:paraId="0242DE6B" w14:textId="52EB3029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Earlier phase 3 trials in unselected patients failed to show overall survival benefit [</w:t>
            </w:r>
            <w:r w:rsidR="005231C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114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; 1</w:t>
            </w:r>
            <w:r w:rsidR="005231C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15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]; post-hoc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and phenotype-guided analyses suggest potential benefit in MAS-like subgroups [1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16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; 1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17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5A5B6498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Benefit depends on enrichment for hyperinflammatory phenotype; ferritin alone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may lack specificity; inappropriate use in immunoparalyzed patients may worsen host defense</w:t>
            </w:r>
          </w:p>
        </w:tc>
      </w:tr>
      <w:tr w:rsidR="003D46F9" w:rsidRPr="00ED3F37" w14:paraId="48480374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48D7F97A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IFN-γ</w:t>
            </w:r>
          </w:p>
        </w:tc>
        <w:tc>
          <w:tcPr>
            <w:tcW w:w="934" w:type="pct"/>
            <w:vAlign w:val="center"/>
            <w:hideMark/>
          </w:tcPr>
          <w:p w14:paraId="208A8DD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Restores monocyte/macrophage antimicrobial function, promotes HLA-DR re-expression, and may improve antigen presentation</w:t>
            </w:r>
          </w:p>
        </w:tc>
        <w:tc>
          <w:tcPr>
            <w:tcW w:w="854" w:type="pct"/>
            <w:vAlign w:val="center"/>
            <w:hideMark/>
          </w:tcPr>
          <w:p w14:paraId="7E716199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Immunoparalysis phenotype characterized by low monocyte HLA-DR and impaired monocyte responsiveness</w:t>
            </w:r>
          </w:p>
        </w:tc>
        <w:tc>
          <w:tcPr>
            <w:tcW w:w="823" w:type="pct"/>
            <w:vAlign w:val="center"/>
            <w:hideMark/>
          </w:tcPr>
          <w:p w14:paraId="5EBA369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Later phase or post-acute phase, particularly after persistent HLA-DR downregulation is confirmed</w:t>
            </w:r>
          </w:p>
        </w:tc>
        <w:tc>
          <w:tcPr>
            <w:tcW w:w="829" w:type="pct"/>
            <w:vAlign w:val="center"/>
            <w:hideMark/>
          </w:tcPr>
          <w:p w14:paraId="28CE5E56" w14:textId="5FA58F20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ImmunoSep demonstrated organ-function improvement in patients selected by low mHLA-DR and ferritin criteria [1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18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1005C44A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Requires reliable bedside HLA-DR measurement and appropriate exclusion of ongoing uncontrolled hyperinflammation; excessive stimulation may be harmful if given too early</w:t>
            </w:r>
          </w:p>
        </w:tc>
      </w:tr>
      <w:tr w:rsidR="003D46F9" w:rsidRPr="00ED3F37" w14:paraId="59861D77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0DB9584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GM-CSF</w:t>
            </w:r>
          </w:p>
        </w:tc>
        <w:tc>
          <w:tcPr>
            <w:tcW w:w="934" w:type="pct"/>
            <w:vAlign w:val="center"/>
            <w:hideMark/>
          </w:tcPr>
          <w:p w14:paraId="1A7D4FAD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Enhances monocyte maturation, antigen presentation, cytokine-production capacity, and myeloid recovery</w:t>
            </w:r>
          </w:p>
        </w:tc>
        <w:tc>
          <w:tcPr>
            <w:tcW w:w="854" w:type="pct"/>
            <w:vAlign w:val="center"/>
            <w:hideMark/>
          </w:tcPr>
          <w:p w14:paraId="5466612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Patients with sepsis-associated immunosuppression, low monocyte HLA-DR, or impaired ex vivo cytokine response</w:t>
            </w:r>
          </w:p>
        </w:tc>
        <w:tc>
          <w:tcPr>
            <w:tcW w:w="823" w:type="pct"/>
            <w:vAlign w:val="center"/>
            <w:hideMark/>
          </w:tcPr>
          <w:p w14:paraId="76AB30E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Typically considered after early shock stabilization, when immune paralysis becomes evident</w:t>
            </w:r>
          </w:p>
        </w:tc>
        <w:tc>
          <w:tcPr>
            <w:tcW w:w="829" w:type="pct"/>
            <w:vAlign w:val="center"/>
            <w:hideMark/>
          </w:tcPr>
          <w:p w14:paraId="207FC5D1" w14:textId="14989344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Clinical and mechanistic studies suggest potential to reverse immunosuppression [4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2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60D4A9E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Evidence remains heterogeneous; optimal threshold, timing, dose, and patient-selection criteria are not standardized</w:t>
            </w:r>
          </w:p>
        </w:tc>
      </w:tr>
      <w:tr w:rsidR="003D46F9" w:rsidRPr="00ED3F37" w14:paraId="3718F6D7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09253A5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IL-7 / CYT107</w:t>
            </w:r>
          </w:p>
        </w:tc>
        <w:tc>
          <w:tcPr>
            <w:tcW w:w="934" w:type="pct"/>
            <w:vAlign w:val="center"/>
            <w:hideMark/>
          </w:tcPr>
          <w:p w14:paraId="743B1854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Expands and restores T-cell populations; improves adaptive immune competence in lymphopenic sepsis</w:t>
            </w:r>
          </w:p>
        </w:tc>
        <w:tc>
          <w:tcPr>
            <w:tcW w:w="854" w:type="pct"/>
            <w:vAlign w:val="center"/>
            <w:hideMark/>
          </w:tcPr>
          <w:p w14:paraId="1A2145B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Patients with profound lymphopenia or adaptive immune failure</w:t>
            </w:r>
          </w:p>
        </w:tc>
        <w:tc>
          <w:tcPr>
            <w:tcW w:w="823" w:type="pct"/>
            <w:vAlign w:val="center"/>
            <w:hideMark/>
          </w:tcPr>
          <w:p w14:paraId="097CCA1D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Later phase or established lymphopenia, rather than early hyperinflammation</w:t>
            </w:r>
          </w:p>
        </w:tc>
        <w:tc>
          <w:tcPr>
            <w:tcW w:w="829" w:type="pct"/>
            <w:vAlign w:val="center"/>
            <w:hideMark/>
          </w:tcPr>
          <w:p w14:paraId="13627056" w14:textId="0D846010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IRIS-7 showed restoration of lymphocyte counts, including sustained increases in CD4+ and CD8+ T cells [1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19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427C56C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Primarily restores cell numbers; effect on mortality and infection outcomes requires further validation; should be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restricted to patients with documented lymphopenia</w:t>
            </w:r>
          </w:p>
        </w:tc>
      </w:tr>
      <w:tr w:rsidR="003D46F9" w:rsidRPr="00ED3F37" w14:paraId="558176C0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53C26FF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PD-1 / PD-L1 or TIM-3 checkpoint modulation</w:t>
            </w:r>
          </w:p>
        </w:tc>
        <w:tc>
          <w:tcPr>
            <w:tcW w:w="934" w:type="pct"/>
            <w:vAlign w:val="center"/>
            <w:hideMark/>
          </w:tcPr>
          <w:p w14:paraId="654D689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Aims to reverse T-cell exhaustion and restore effector lymphocyte function</w:t>
            </w:r>
          </w:p>
        </w:tc>
        <w:tc>
          <w:tcPr>
            <w:tcW w:w="854" w:type="pct"/>
            <w:vAlign w:val="center"/>
            <w:hideMark/>
          </w:tcPr>
          <w:p w14:paraId="65B21BE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Patients with checkpoint-high exhausted T cells or NK cells; potentially late immunosuppressive phenotype</w:t>
            </w:r>
          </w:p>
        </w:tc>
        <w:tc>
          <w:tcPr>
            <w:tcW w:w="823" w:type="pct"/>
            <w:vAlign w:val="center"/>
            <w:hideMark/>
          </w:tcPr>
          <w:p w14:paraId="7CE47B5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Likely before terminal exhaustion becomes epigenetically fixed; timing may be critical around the transition phase</w:t>
            </w:r>
          </w:p>
        </w:tc>
        <w:tc>
          <w:tcPr>
            <w:tcW w:w="829" w:type="pct"/>
            <w:vAlign w:val="center"/>
            <w:hideMark/>
          </w:tcPr>
          <w:p w14:paraId="645C1144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Strong mechanistic rationale and preclinical support; clinical sepsis evidence remains limited [18–22]</w:t>
            </w:r>
          </w:p>
        </w:tc>
        <w:tc>
          <w:tcPr>
            <w:tcW w:w="817" w:type="pct"/>
            <w:vAlign w:val="center"/>
            <w:hideMark/>
          </w:tcPr>
          <w:p w14:paraId="3B0F501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Risk of excessive immune activation; uncertain reversibility of exhaustion after late-stage epigenetic remodeling; requires checkpoint and functional immune profiling</w:t>
            </w:r>
          </w:p>
        </w:tc>
      </w:tr>
      <w:tr w:rsidR="003D46F9" w:rsidRPr="00ED3F37" w14:paraId="44D36888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62B5742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TIGIT blockade</w:t>
            </w:r>
          </w:p>
        </w:tc>
        <w:tc>
          <w:tcPr>
            <w:tcW w:w="934" w:type="pct"/>
            <w:vAlign w:val="center"/>
            <w:hideMark/>
          </w:tcPr>
          <w:p w14:paraId="6635ABD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Restores exhausted CD4+ T-cell function in experimental polymicrobial sepsis models</w:t>
            </w:r>
          </w:p>
        </w:tc>
        <w:tc>
          <w:tcPr>
            <w:tcW w:w="854" w:type="pct"/>
            <w:vAlign w:val="center"/>
            <w:hideMark/>
          </w:tcPr>
          <w:p w14:paraId="340D8536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T-cell exhaustion phenotype with TIGIT upregulation</w:t>
            </w:r>
          </w:p>
        </w:tc>
        <w:tc>
          <w:tcPr>
            <w:tcW w:w="823" w:type="pct"/>
            <w:vAlign w:val="center"/>
            <w:hideMark/>
          </w:tcPr>
          <w:p w14:paraId="05BC2E0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Transition or late immunosuppressive phase, before irreversible immune exhaustion</w:t>
            </w:r>
          </w:p>
        </w:tc>
        <w:tc>
          <w:tcPr>
            <w:tcW w:w="829" w:type="pct"/>
            <w:vAlign w:val="center"/>
            <w:hideMark/>
          </w:tcPr>
          <w:p w14:paraId="1F3D977C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Preclinical evidence suggests restored CD4+ T-cell function [22]</w:t>
            </w:r>
          </w:p>
        </w:tc>
        <w:tc>
          <w:tcPr>
            <w:tcW w:w="817" w:type="pct"/>
            <w:vAlign w:val="center"/>
            <w:hideMark/>
          </w:tcPr>
          <w:p w14:paraId="18E92F97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Human sepsis data are limited; safety and immune-state selection criteria remain undefined</w:t>
            </w:r>
          </w:p>
        </w:tc>
      </w:tr>
      <w:tr w:rsidR="003D46F9" w:rsidRPr="00ED3F37" w14:paraId="3B468885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7D5DF77A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NLRP3 inflammasome inhibition</w:t>
            </w:r>
          </w:p>
        </w:tc>
        <w:tc>
          <w:tcPr>
            <w:tcW w:w="934" w:type="pct"/>
            <w:vAlign w:val="center"/>
            <w:hideMark/>
          </w:tcPr>
          <w:p w14:paraId="18EC0DD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Reduces NLRP3–caspase-1–GSDMD-mediated pyroptosis, IL-1β release, and inflammatory monocyte/macrophage loss</w:t>
            </w:r>
          </w:p>
        </w:tc>
        <w:tc>
          <w:tcPr>
            <w:tcW w:w="854" w:type="pct"/>
            <w:vAlign w:val="center"/>
            <w:hideMark/>
          </w:tcPr>
          <w:p w14:paraId="32DCAB9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Hyperinflammatory phenotype with excessive inflammasome activation or pyroptosis</w:t>
            </w:r>
          </w:p>
        </w:tc>
        <w:tc>
          <w:tcPr>
            <w:tcW w:w="823" w:type="pct"/>
            <w:vAlign w:val="center"/>
            <w:hideMark/>
          </w:tcPr>
          <w:p w14:paraId="56AF33D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inflammatory phase; potentially useful when pyroptosis contributes to tissue injury</w:t>
            </w:r>
          </w:p>
        </w:tc>
        <w:tc>
          <w:tcPr>
            <w:tcW w:w="829" w:type="pct"/>
            <w:vAlign w:val="center"/>
            <w:hideMark/>
          </w:tcPr>
          <w:p w14:paraId="1A65A318" w14:textId="3D86D912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Preclinical sepsis models show reduced inflammation and improved survival [5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7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–6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3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482E8238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May impair antimicrobial inflammasome responses if used broadly; requires functional assays to identify patients with excessive NLRP3 activation</w:t>
            </w:r>
          </w:p>
        </w:tc>
      </w:tr>
      <w:tr w:rsidR="003D46F9" w:rsidRPr="00ED3F37" w14:paraId="7FA7CB7F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1BF0188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GSDMD inhibition</w:t>
            </w:r>
          </w:p>
        </w:tc>
        <w:tc>
          <w:tcPr>
            <w:tcW w:w="934" w:type="pct"/>
            <w:vAlign w:val="center"/>
            <w:hideMark/>
          </w:tcPr>
          <w:p w14:paraId="64EAC8F0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Blocks downstream execution of pyroptosis, reducing pore formation and inflammatory cell death</w:t>
            </w:r>
          </w:p>
        </w:tc>
        <w:tc>
          <w:tcPr>
            <w:tcW w:w="854" w:type="pct"/>
            <w:vAlign w:val="center"/>
            <w:hideMark/>
          </w:tcPr>
          <w:p w14:paraId="1E2B98B9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Patients with pyroptosis-dominant inflammatory injury</w:t>
            </w:r>
          </w:p>
        </w:tc>
        <w:tc>
          <w:tcPr>
            <w:tcW w:w="823" w:type="pct"/>
            <w:vAlign w:val="center"/>
            <w:hideMark/>
          </w:tcPr>
          <w:p w14:paraId="098EBC8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hyperinflammatory phase or tissue-injury phase</w:t>
            </w:r>
          </w:p>
        </w:tc>
        <w:tc>
          <w:tcPr>
            <w:tcW w:w="829" w:type="pct"/>
            <w:vAlign w:val="center"/>
            <w:hideMark/>
          </w:tcPr>
          <w:p w14:paraId="43E2B61F" w14:textId="00401334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Preclinical evidence supports attenuation of inflammatory responses and improved survival [6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0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6B71968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Human clinical evidence is lacking; risk of disrupting host-defense mechanisms; no validated bedside marker 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for GSDMD-dependent pyroptosis</w:t>
            </w:r>
          </w:p>
        </w:tc>
      </w:tr>
      <w:tr w:rsidR="003D46F9" w:rsidRPr="00ED3F37" w14:paraId="7FB746C7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6336B20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mTOR / autophagy modulation</w:t>
            </w:r>
          </w:p>
        </w:tc>
        <w:tc>
          <w:tcPr>
            <w:tcW w:w="934" w:type="pct"/>
            <w:vAlign w:val="center"/>
            <w:hideMark/>
          </w:tcPr>
          <w:p w14:paraId="4459CB1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Restores immune-cell metabolic fitness, improves autophagy-mediated clearance of damaged organelles, and may support T-cell and monocyte recovery</w:t>
            </w:r>
          </w:p>
        </w:tc>
        <w:tc>
          <w:tcPr>
            <w:tcW w:w="854" w:type="pct"/>
            <w:vAlign w:val="center"/>
            <w:hideMark/>
          </w:tcPr>
          <w:p w14:paraId="43D0B21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Metabolically impaired or exhausted PBMC states; potentially relevant in older adults with defective autophagy</w:t>
            </w:r>
          </w:p>
        </w:tc>
        <w:tc>
          <w:tcPr>
            <w:tcW w:w="823" w:type="pct"/>
            <w:vAlign w:val="center"/>
            <w:hideMark/>
          </w:tcPr>
          <w:p w14:paraId="384D889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Transition or late phase when metabolic paralysis and impaired autophagy are evident</w:t>
            </w:r>
          </w:p>
        </w:tc>
        <w:tc>
          <w:tcPr>
            <w:tcW w:w="829" w:type="pct"/>
            <w:vAlign w:val="center"/>
            <w:hideMark/>
          </w:tcPr>
          <w:p w14:paraId="117E7123" w14:textId="096C69EC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Mechanistic and preclinical evidence; clinical translation remains exploratory [7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8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–7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0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3AC7027D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mTOR has context-dependent effects; non-selective modulation may impair protective immune activation or tissue repair</w:t>
            </w:r>
          </w:p>
        </w:tc>
      </w:tr>
      <w:tr w:rsidR="003D46F9" w:rsidRPr="00ED3F37" w14:paraId="6BE95C40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35234A89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IFN-γ-related metabolic resuscitation</w:t>
            </w:r>
          </w:p>
        </w:tc>
        <w:tc>
          <w:tcPr>
            <w:tcW w:w="934" w:type="pct"/>
            <w:vAlign w:val="center"/>
            <w:hideMark/>
          </w:tcPr>
          <w:p w14:paraId="25EF488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Stimulates mitochondrial biogenesis, supports HLA-DR re-expression, and improves monocyte antigen-presentation capacity</w:t>
            </w:r>
          </w:p>
        </w:tc>
        <w:tc>
          <w:tcPr>
            <w:tcW w:w="854" w:type="pct"/>
            <w:vAlign w:val="center"/>
            <w:hideMark/>
          </w:tcPr>
          <w:p w14:paraId="67BF40C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HLA-DRlow immunoparalysis with metabolic dysfunction</w:t>
            </w:r>
          </w:p>
        </w:tc>
        <w:tc>
          <w:tcPr>
            <w:tcW w:w="823" w:type="pct"/>
            <w:vAlign w:val="center"/>
            <w:hideMark/>
          </w:tcPr>
          <w:p w14:paraId="2F261B2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Later immunosuppressive phase after confirmation of impaired monocyte function</w:t>
            </w:r>
          </w:p>
        </w:tc>
        <w:tc>
          <w:tcPr>
            <w:tcW w:w="829" w:type="pct"/>
            <w:vAlign w:val="center"/>
            <w:hideMark/>
          </w:tcPr>
          <w:p w14:paraId="63EC1B07" w14:textId="5C7EF5C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Supported by mechanistic rationale and immune-phenotype-guided clinical evidence [2; 1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18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73D5CB68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Requires distinction between reversible metabolic suppression and terminal immune exhaustion; may be ineffective if irreversible epigenetic silencing has occurred</w:t>
            </w:r>
          </w:p>
        </w:tc>
      </w:tr>
      <w:tr w:rsidR="003D46F9" w:rsidRPr="00ED3F37" w14:paraId="5291DA19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7284ECAC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Itaconate / 4-octyl itaconate / SDH modulation</w:t>
            </w:r>
          </w:p>
        </w:tc>
        <w:tc>
          <w:tcPr>
            <w:tcW w:w="934" w:type="pct"/>
            <w:vAlign w:val="center"/>
            <w:hideMark/>
          </w:tcPr>
          <w:p w14:paraId="7078723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Suppresses succinate-driven HIF-1α activation and limits NLRP3 inflammasome activation; links immunometabolism with inflammation control</w:t>
            </w:r>
          </w:p>
        </w:tc>
        <w:tc>
          <w:tcPr>
            <w:tcW w:w="854" w:type="pct"/>
            <w:vAlign w:val="center"/>
            <w:hideMark/>
          </w:tcPr>
          <w:p w14:paraId="57C2082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Hyperinflammatory or metabolically dysregulated PBMC states with succinate/NLRP3 activation</w:t>
            </w:r>
          </w:p>
        </w:tc>
        <w:tc>
          <w:tcPr>
            <w:tcW w:w="823" w:type="pct"/>
            <w:vAlign w:val="center"/>
            <w:hideMark/>
          </w:tcPr>
          <w:p w14:paraId="49BEF910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to transition phase, depending on metabolic phenotype</w:t>
            </w:r>
          </w:p>
        </w:tc>
        <w:tc>
          <w:tcPr>
            <w:tcW w:w="829" w:type="pct"/>
            <w:vAlign w:val="center"/>
            <w:hideMark/>
          </w:tcPr>
          <w:p w14:paraId="3E65A631" w14:textId="767FFD7F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Preclinical studies show suppression of NLRP3 activation and improved survival in experimental sepsis [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71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; 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88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5CA5754C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Clinical evidence is lacking; optimal dosing, timing, and patient selection are undefined; excessive suppression may impair antimicrobial responses</w:t>
            </w:r>
          </w:p>
        </w:tc>
      </w:tr>
      <w:tr w:rsidR="003D46F9" w:rsidRPr="00ED3F37" w14:paraId="6FC28A76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4068C3BA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ZIP8 / ferroptosis-targeted strategies</w:t>
            </w:r>
          </w:p>
        </w:tc>
        <w:tc>
          <w:tcPr>
            <w:tcW w:w="934" w:type="pct"/>
            <w:vAlign w:val="center"/>
            <w:hideMark/>
          </w:tcPr>
          <w:p w14:paraId="0E299DD3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Prevents ZIP8-mediated iron influx, GPX4 dysfunction, lipid peroxidation, and monocytic ferroptosis</w:t>
            </w:r>
          </w:p>
        </w:tc>
        <w:tc>
          <w:tcPr>
            <w:tcW w:w="854" w:type="pct"/>
            <w:vAlign w:val="center"/>
            <w:hideMark/>
          </w:tcPr>
          <w:p w14:paraId="6D9866AA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Patients with monocyte loss driven by ferroptosis or oxidative metabolic stress</w:t>
            </w:r>
          </w:p>
        </w:tc>
        <w:tc>
          <w:tcPr>
            <w:tcW w:w="823" w:type="pct"/>
            <w:vAlign w:val="center"/>
            <w:hideMark/>
          </w:tcPr>
          <w:p w14:paraId="0AA77EBF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Likely transition or late phase when monocyte preservation is needed</w:t>
            </w:r>
          </w:p>
        </w:tc>
        <w:tc>
          <w:tcPr>
            <w:tcW w:w="829" w:type="pct"/>
            <w:vAlign w:val="center"/>
            <w:hideMark/>
          </w:tcPr>
          <w:p w14:paraId="56B629F2" w14:textId="115E15E1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Preclinical evidence supports ZIP8 suppression and ferroptosis inhibition for monocyte preservation [6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2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; 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64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 xml:space="preserve">; 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66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25740A79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Systemic ferroptosis inhibition may impair antimicrobial iron restriction or promote pathogen persistence; cell type–specific targeting is needed</w:t>
            </w:r>
          </w:p>
        </w:tc>
      </w:tr>
      <w:tr w:rsidR="003D46F9" w:rsidRPr="00ED3F37" w14:paraId="7FCCCCFA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1546CE26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CD38 / NAD+ axis modulation</w:t>
            </w:r>
          </w:p>
        </w:tc>
        <w:tc>
          <w:tcPr>
            <w:tcW w:w="934" w:type="pct"/>
            <w:vAlign w:val="center"/>
            <w:hideMark/>
          </w:tcPr>
          <w:p w14:paraId="585F564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CD38high monocytes reflect NAD+ consumption and metabolic stress; CD38 inhibition may preserve intracellular NAD+ and immune-cell metabolic fitness</w:t>
            </w:r>
          </w:p>
        </w:tc>
        <w:tc>
          <w:tcPr>
            <w:tcW w:w="854" w:type="pct"/>
            <w:vAlign w:val="center"/>
            <w:hideMark/>
          </w:tcPr>
          <w:p w14:paraId="5C7CDC4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myeloid activation with CD38high monocyte expansion and NAD+-linked metabolic dysfunction</w:t>
            </w:r>
          </w:p>
        </w:tc>
        <w:tc>
          <w:tcPr>
            <w:tcW w:w="823" w:type="pct"/>
            <w:vAlign w:val="center"/>
            <w:hideMark/>
          </w:tcPr>
          <w:p w14:paraId="3D1B290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Early phase, potentially before metabolic exhaustion becomes established</w:t>
            </w:r>
          </w:p>
        </w:tc>
        <w:tc>
          <w:tcPr>
            <w:tcW w:w="829" w:type="pct"/>
            <w:vAlign w:val="center"/>
            <w:hideMark/>
          </w:tcPr>
          <w:p w14:paraId="56026D00" w14:textId="2327471F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Biomarker and mechanistic rationale; therapeutic evidence in sepsis remains preliminary [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37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361C8952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Causality between CD38high monocytes and disease progression remains uncertain; CD38-targeted therapy may affect multiple immune-cell compartments</w:t>
            </w:r>
          </w:p>
        </w:tc>
      </w:tr>
      <w:tr w:rsidR="003D46F9" w:rsidRPr="00ED3F37" w14:paraId="4877CB43" w14:textId="77777777" w:rsidTr="003D46F9">
        <w:trPr>
          <w:tblCellSpacing w:w="15" w:type="dxa"/>
        </w:trPr>
        <w:tc>
          <w:tcPr>
            <w:tcW w:w="616" w:type="pct"/>
            <w:vAlign w:val="center"/>
            <w:hideMark/>
          </w:tcPr>
          <w:p w14:paraId="6EE089E1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Adaptive immune-phenotyping platform trials</w:t>
            </w:r>
          </w:p>
        </w:tc>
        <w:tc>
          <w:tcPr>
            <w:tcW w:w="934" w:type="pct"/>
            <w:vAlign w:val="center"/>
            <w:hideMark/>
          </w:tcPr>
          <w:p w14:paraId="37166EB5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Uses PBMC-derived biomarkers to allocate patients to anti-inflammatory, immunostimulatory, or metabolic interventions according to immune state</w:t>
            </w:r>
          </w:p>
        </w:tc>
        <w:tc>
          <w:tcPr>
            <w:tcW w:w="854" w:type="pct"/>
            <w:vAlign w:val="center"/>
            <w:hideMark/>
          </w:tcPr>
          <w:p w14:paraId="72A1D3D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Heterogeneous sepsis population stratified into hyperinflammatory, immunoparalyzed, lymphopenic, or metabolically dysregulated endotypes</w:t>
            </w:r>
          </w:p>
        </w:tc>
        <w:tc>
          <w:tcPr>
            <w:tcW w:w="823" w:type="pct"/>
            <w:vAlign w:val="center"/>
            <w:hideMark/>
          </w:tcPr>
          <w:p w14:paraId="4549DBBE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Dynamic; treatment allocation can change with repeated immune monitoring</w:t>
            </w:r>
          </w:p>
        </w:tc>
        <w:tc>
          <w:tcPr>
            <w:tcW w:w="829" w:type="pct"/>
            <w:vAlign w:val="center"/>
            <w:hideMark/>
          </w:tcPr>
          <w:p w14:paraId="3D7FD7AC" w14:textId="658C2786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Supported conceptually by biomarker-guided trials and adaptive platform trial experience [</w:t>
            </w:r>
            <w:r w:rsidR="001A4C02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14:ligatures w14:val="none"/>
              </w:rPr>
              <w:t>117-120</w:t>
            </w: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]</w:t>
            </w:r>
          </w:p>
        </w:tc>
        <w:tc>
          <w:tcPr>
            <w:tcW w:w="817" w:type="pct"/>
            <w:vAlign w:val="center"/>
            <w:hideMark/>
          </w:tcPr>
          <w:p w14:paraId="6C81BE8B" w14:textId="77777777" w:rsidR="003D46F9" w:rsidRPr="00ED3F37" w:rsidRDefault="003D46F9" w:rsidP="003D46F9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D3F37">
              <w:rPr>
                <w:rFonts w:ascii="Times New Roman" w:eastAsia="宋体" w:hAnsi="Times New Roman" w:cs="Times New Roman"/>
                <w:kern w:val="0"/>
                <w:sz w:val="20"/>
                <w:szCs w:val="20"/>
                <w14:ligatures w14:val="none"/>
              </w:rPr>
              <w:t>Requires standardized immune assays, rapid turnaround, regulatory acceptance, and predefined biomarker thresholds</w:t>
            </w:r>
          </w:p>
        </w:tc>
      </w:tr>
    </w:tbl>
    <w:p w14:paraId="25B0928E" w14:textId="77777777" w:rsidR="00960120" w:rsidRDefault="00960120">
      <w:pPr>
        <w:rPr>
          <w:rFonts w:ascii="Times New Roman" w:hAnsi="Times New Roman" w:cs="Times New Roman"/>
        </w:rPr>
      </w:pPr>
    </w:p>
    <w:p w14:paraId="2AE4DA3E" w14:textId="53880EE7" w:rsidR="003D46F9" w:rsidRPr="004D41D7" w:rsidRDefault="004D41D7">
      <w:pPr>
        <w:rPr>
          <w:rFonts w:ascii="Times New Roman" w:hAnsi="Times New Roman" w:cs="Times New Roman"/>
        </w:rPr>
      </w:pPr>
      <w:r w:rsidRPr="004D41D7">
        <w:rPr>
          <w:rFonts w:ascii="Times New Roman" w:hAnsi="Times New Roman" w:cs="Times New Roman"/>
        </w:rPr>
        <w:t xml:space="preserve">Abbreviations: GM-CSF, granulocyte-macrophage colony-stimulating factor; GSDMD, gasdermin D; IFN-γ, interferon-gamma; IL, interleukin; MAS, </w:t>
      </w:r>
      <w:r w:rsidRPr="004D41D7">
        <w:rPr>
          <w:rFonts w:ascii="Times New Roman" w:hAnsi="Times New Roman" w:cs="Times New Roman"/>
        </w:rPr>
        <w:lastRenderedPageBreak/>
        <w:t>macrophage activation syndrome; mHLA-DR, monocytic human leukocyte antigen-DR; NLRP3, NOD-like receptor family pyrin domain containing 3; PBMC, peripheral blood mononuclear cell; SDH, succinate dehydrogenase; TLR4, Toll-like receptor 4.</w:t>
      </w:r>
    </w:p>
    <w:sectPr w:rsidR="003D46F9" w:rsidRPr="004D41D7" w:rsidSect="008E71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6268" w14:textId="77777777" w:rsidR="009D0C92" w:rsidRDefault="009D0C92" w:rsidP="00117721">
      <w:pPr>
        <w:spacing w:after="0" w:line="240" w:lineRule="auto"/>
      </w:pPr>
      <w:r>
        <w:separator/>
      </w:r>
    </w:p>
  </w:endnote>
  <w:endnote w:type="continuationSeparator" w:id="0">
    <w:p w14:paraId="635C3E68" w14:textId="77777777" w:rsidR="009D0C92" w:rsidRDefault="009D0C92" w:rsidP="0011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F5DC" w14:textId="77777777" w:rsidR="009D0C92" w:rsidRDefault="009D0C92" w:rsidP="00117721">
      <w:pPr>
        <w:spacing w:after="0" w:line="240" w:lineRule="auto"/>
      </w:pPr>
      <w:r>
        <w:separator/>
      </w:r>
    </w:p>
  </w:footnote>
  <w:footnote w:type="continuationSeparator" w:id="0">
    <w:p w14:paraId="57D957D2" w14:textId="77777777" w:rsidR="009D0C92" w:rsidRDefault="009D0C92" w:rsidP="001177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F9"/>
    <w:rsid w:val="00047947"/>
    <w:rsid w:val="00117721"/>
    <w:rsid w:val="001A4C02"/>
    <w:rsid w:val="003D46F9"/>
    <w:rsid w:val="004D41D7"/>
    <w:rsid w:val="005231C0"/>
    <w:rsid w:val="008E71F9"/>
    <w:rsid w:val="00960120"/>
    <w:rsid w:val="009D0C92"/>
    <w:rsid w:val="00D007E0"/>
    <w:rsid w:val="00D01AEB"/>
    <w:rsid w:val="00E37829"/>
    <w:rsid w:val="00ED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45B70"/>
  <w15:chartTrackingRefBased/>
  <w15:docId w15:val="{DDC3BC26-5A7A-4061-82C5-9708AC96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D46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4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6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46F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46F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46F9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46F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46F9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46F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D46F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D46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D46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D46F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D46F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D46F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D46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D46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D46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D46F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D4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46F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D46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4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D46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46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46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46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D46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D46F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1772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1772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1772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17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1455</Words>
  <Characters>8297</Characters>
  <Application>Microsoft Office Word</Application>
  <DocSecurity>0</DocSecurity>
  <Lines>69</Lines>
  <Paragraphs>19</Paragraphs>
  <ScaleCrop>false</ScaleCrop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志恒 潜</dc:creator>
  <cp:keywords/>
  <dc:description/>
  <cp:lastModifiedBy>志恒 潜</cp:lastModifiedBy>
  <cp:revision>8</cp:revision>
  <dcterms:created xsi:type="dcterms:W3CDTF">2026-05-28T11:32:00Z</dcterms:created>
  <dcterms:modified xsi:type="dcterms:W3CDTF">2026-05-29T15:02:00Z</dcterms:modified>
</cp:coreProperties>
</file>